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99B4" w14:textId="170DD04E" w:rsidR="00563AEE" w:rsidRPr="0058426D" w:rsidRDefault="009110A0" w:rsidP="0058426D">
      <w:pPr>
        <w:pStyle w:val="NoSpacing"/>
        <w:rPr>
          <w:b/>
          <w:bCs/>
        </w:rPr>
      </w:pPr>
      <w:bookmarkStart w:id="0" w:name="_GoBack21"/>
      <w:r w:rsidRPr="0058426D">
        <w:rPr>
          <w:b/>
          <w:bCs/>
        </w:rPr>
        <w:t>REVIEW OF REGULATIONS PART 3E (a) TRACKING TRIAL JUDGES TRAINING SCHEME</w:t>
      </w:r>
    </w:p>
    <w:p w14:paraId="0AB1FA67" w14:textId="0C0C8604" w:rsidR="0071612B" w:rsidRPr="0058426D" w:rsidRDefault="00571794" w:rsidP="0058426D">
      <w:pPr>
        <w:pStyle w:val="NoSpacing"/>
        <w:rPr>
          <w:b/>
          <w:bCs/>
          <w:sz w:val="24"/>
        </w:rPr>
      </w:pPr>
      <w:r w:rsidRPr="0058426D">
        <w:rPr>
          <w:b/>
          <w:bCs/>
          <w:sz w:val="24"/>
        </w:rPr>
        <w:t>OVERVIEW</w:t>
      </w:r>
      <w:r w:rsidR="0071612B" w:rsidRPr="0058426D">
        <w:rPr>
          <w:b/>
          <w:bCs/>
          <w:sz w:val="24"/>
        </w:rPr>
        <w:t xml:space="preserve"> </w:t>
      </w:r>
      <w:r w:rsidR="0071612B" w:rsidRPr="0058426D">
        <w:rPr>
          <w:b/>
          <w:bCs/>
          <w:sz w:val="24"/>
        </w:rPr>
        <w:tab/>
      </w:r>
    </w:p>
    <w:p w14:paraId="5CEABC09" w14:textId="77777777" w:rsidR="0058426D" w:rsidRDefault="0058426D" w:rsidP="0058426D">
      <w:pPr>
        <w:pStyle w:val="NoSpacing"/>
        <w:rPr>
          <w:sz w:val="24"/>
          <w:highlight w:val="yellow"/>
        </w:rPr>
      </w:pPr>
    </w:p>
    <w:p w14:paraId="371D3ACE" w14:textId="12262875" w:rsidR="009110A0" w:rsidRPr="0058426D" w:rsidRDefault="009110A0" w:rsidP="0058426D">
      <w:pPr>
        <w:pStyle w:val="NoSpacing"/>
        <w:rPr>
          <w:b/>
          <w:bCs/>
          <w:sz w:val="24"/>
        </w:rPr>
      </w:pPr>
      <w:r w:rsidRPr="0058426D">
        <w:rPr>
          <w:b/>
          <w:bCs/>
          <w:sz w:val="24"/>
          <w:highlight w:val="yellow"/>
        </w:rPr>
        <w:t>DOGS QLD</w:t>
      </w:r>
    </w:p>
    <w:p w14:paraId="53F7BEFE" w14:textId="296BA871" w:rsidR="00533CD9" w:rsidRPr="0058426D" w:rsidRDefault="00533CD9" w:rsidP="0058426D">
      <w:pPr>
        <w:pStyle w:val="NoSpacing"/>
        <w:rPr>
          <w:b/>
          <w:bCs/>
          <w:color w:val="0070C0"/>
          <w:sz w:val="24"/>
        </w:rPr>
      </w:pPr>
      <w:r w:rsidRPr="0058426D">
        <w:rPr>
          <w:b/>
          <w:bCs/>
          <w:color w:val="0070C0"/>
          <w:sz w:val="24"/>
        </w:rPr>
        <w:t>PROPOSAL:</w:t>
      </w:r>
      <w:r w:rsidR="0058426D">
        <w:rPr>
          <w:b/>
          <w:bCs/>
          <w:color w:val="0070C0"/>
          <w:sz w:val="24"/>
        </w:rPr>
        <w:t xml:space="preserve"> </w:t>
      </w:r>
      <w:r w:rsidRPr="0058426D">
        <w:rPr>
          <w:b/>
          <w:bCs/>
          <w:color w:val="0070C0"/>
          <w:sz w:val="24"/>
        </w:rPr>
        <w:t>NEW RULE</w:t>
      </w:r>
    </w:p>
    <w:bookmarkEnd w:id="0"/>
    <w:p w14:paraId="595C0DDA" w14:textId="26CC8294" w:rsidR="00571794" w:rsidRPr="00C57D27" w:rsidRDefault="00571794" w:rsidP="0058426D">
      <w:pPr>
        <w:pStyle w:val="NoSpacing"/>
        <w:rPr>
          <w:rFonts w:eastAsia="Times New Roman"/>
          <w:color w:val="0070C0"/>
          <w:sz w:val="24"/>
          <w:lang w:eastAsia="en-AU" w:bidi="ar-SA"/>
        </w:rPr>
      </w:pPr>
      <w:r w:rsidRPr="00C57D27">
        <w:rPr>
          <w:rFonts w:eastAsia="Times New Roman"/>
          <w:color w:val="0070C0"/>
          <w:sz w:val="24"/>
          <w:lang w:eastAsia="en-AU" w:bidi="ar-SA"/>
        </w:rPr>
        <w:t>1.3</w:t>
      </w:r>
      <w:r w:rsidRPr="00C57D27">
        <w:rPr>
          <w:rFonts w:eastAsia="Times New Roman"/>
          <w:color w:val="0070C0"/>
          <w:sz w:val="24"/>
          <w:lang w:eastAsia="en-AU" w:bidi="ar-SA"/>
        </w:rPr>
        <w:tab/>
        <w:t>A Tracking Judging licence may be approved to judge test levels up to Tracking Dog prior to training, testing and assessment for a Tracking Judging licence to judge all test levels.</w:t>
      </w:r>
    </w:p>
    <w:p w14:paraId="3B8C557D" w14:textId="77777777" w:rsidR="00571794" w:rsidRPr="00533CD9" w:rsidRDefault="00571794" w:rsidP="0058426D">
      <w:pPr>
        <w:pStyle w:val="NoSpacing"/>
        <w:rPr>
          <w:color w:val="00B0F0"/>
          <w:sz w:val="24"/>
        </w:rPr>
      </w:pPr>
    </w:p>
    <w:p w14:paraId="261A893E" w14:textId="54F9C902" w:rsidR="008D704D" w:rsidRPr="009110A0" w:rsidRDefault="008D704D" w:rsidP="0058426D">
      <w:pPr>
        <w:pStyle w:val="NoSpacing"/>
        <w:rPr>
          <w:rFonts w:eastAsia="Times New Roman"/>
          <w:color w:val="FF0000"/>
          <w:sz w:val="24"/>
          <w:lang w:eastAsia="en-AU" w:bidi="ar-SA"/>
        </w:rPr>
      </w:pPr>
      <w:r w:rsidRPr="0058426D">
        <w:rPr>
          <w:b/>
          <w:bCs/>
          <w:color w:val="FF0000"/>
          <w:sz w:val="24"/>
        </w:rPr>
        <w:t>RATIONALE</w:t>
      </w:r>
      <w:r w:rsidR="00533CD9">
        <w:rPr>
          <w:color w:val="FF0000"/>
          <w:sz w:val="24"/>
        </w:rPr>
        <w:t>:</w:t>
      </w:r>
      <w:r w:rsidR="00A46682">
        <w:rPr>
          <w:color w:val="FF0000"/>
          <w:sz w:val="24"/>
        </w:rPr>
        <w:t xml:space="preserve"> </w:t>
      </w:r>
      <w:r w:rsidRPr="009110A0">
        <w:rPr>
          <w:rFonts w:eastAsia="Times New Roman"/>
          <w:color w:val="FF0000"/>
          <w:sz w:val="24"/>
          <w:lang w:eastAsia="en-AU" w:bidi="ar-SA"/>
        </w:rPr>
        <w:t>Over time it has been found that it would be advantageous to the discipline and to the training of judges if there was the option to licence judges for the lower test levels instead of all test levels at once.  Some trainees would have found it more suitable to gain a licence to judge the lower levels and then to gain experience at judging while completing their training for a licence to judge all levels.</w:t>
      </w:r>
    </w:p>
    <w:p w14:paraId="630FE58A" w14:textId="77777777" w:rsidR="008D704D" w:rsidRPr="009110A0" w:rsidRDefault="008D704D" w:rsidP="0058426D">
      <w:pPr>
        <w:pStyle w:val="NoSpacing"/>
        <w:rPr>
          <w:rFonts w:eastAsia="Times New Roman"/>
          <w:color w:val="FF0000"/>
          <w:sz w:val="24"/>
          <w:lang w:eastAsia="en-AU" w:bidi="ar-SA"/>
        </w:rPr>
      </w:pPr>
    </w:p>
    <w:p w14:paraId="73E5CD0D" w14:textId="0518B08F" w:rsidR="008D704D" w:rsidRDefault="008D704D" w:rsidP="0058426D">
      <w:pPr>
        <w:pStyle w:val="NoSpacing"/>
        <w:rPr>
          <w:rFonts w:eastAsia="Times New Roman"/>
          <w:bCs/>
          <w:color w:val="FF0000"/>
          <w:sz w:val="24"/>
          <w:lang w:eastAsia="en-AU" w:bidi="ar-SA"/>
        </w:rPr>
      </w:pPr>
      <w:r w:rsidRPr="0058426D">
        <w:rPr>
          <w:rFonts w:eastAsia="Times New Roman"/>
          <w:b/>
          <w:color w:val="FF0000"/>
          <w:sz w:val="24"/>
          <w:lang w:eastAsia="en-AU" w:bidi="ar-SA"/>
        </w:rPr>
        <w:t>Consequential renumbering</w:t>
      </w:r>
      <w:r w:rsidRPr="00533CD9">
        <w:rPr>
          <w:rFonts w:eastAsia="Times New Roman"/>
          <w:bCs/>
          <w:color w:val="FF0000"/>
          <w:sz w:val="24"/>
          <w:lang w:eastAsia="en-AU" w:bidi="ar-SA"/>
        </w:rPr>
        <w:t>.</w:t>
      </w:r>
    </w:p>
    <w:p w14:paraId="1F3A0836" w14:textId="1059C42E" w:rsidR="003E0A3E" w:rsidRDefault="003E0A3E" w:rsidP="0058426D">
      <w:pPr>
        <w:pStyle w:val="NoSpacing"/>
        <w:rPr>
          <w:rFonts w:eastAsia="Times New Roman"/>
          <w:bCs/>
          <w:color w:val="FF0000"/>
          <w:sz w:val="24"/>
          <w:lang w:eastAsia="en-AU" w:bidi="ar-SA"/>
        </w:rPr>
      </w:pPr>
    </w:p>
    <w:p w14:paraId="59A3191B" w14:textId="77777777" w:rsidR="003E0A3E" w:rsidRPr="0058426D" w:rsidRDefault="003E0A3E" w:rsidP="0058426D">
      <w:pPr>
        <w:pStyle w:val="NoSpacing"/>
        <w:rPr>
          <w:b/>
          <w:bCs/>
        </w:rPr>
      </w:pPr>
      <w:r w:rsidRPr="0058426D">
        <w:rPr>
          <w:b/>
          <w:bCs/>
        </w:rPr>
        <w:t>REVIEW OF REGULATION PART 3 E (b) TRACK &amp; SEARCH JUDGES TRAINING SCHEME</w:t>
      </w:r>
    </w:p>
    <w:p w14:paraId="75F58609" w14:textId="77777777" w:rsidR="0058426D" w:rsidRPr="0058426D" w:rsidRDefault="0058426D" w:rsidP="0058426D">
      <w:pPr>
        <w:pStyle w:val="NoSpacing"/>
        <w:rPr>
          <w:b/>
          <w:bCs/>
          <w:color w:val="000000" w:themeColor="text1"/>
          <w:sz w:val="24"/>
        </w:rPr>
      </w:pPr>
    </w:p>
    <w:p w14:paraId="61070B81" w14:textId="5CCE6B41" w:rsidR="003E0A3E" w:rsidRPr="0058426D" w:rsidRDefault="003E0A3E" w:rsidP="0058426D">
      <w:pPr>
        <w:pStyle w:val="NoSpacing"/>
        <w:rPr>
          <w:b/>
          <w:bCs/>
          <w:color w:val="000000" w:themeColor="text1"/>
          <w:sz w:val="24"/>
        </w:rPr>
      </w:pPr>
      <w:r w:rsidRPr="0058426D">
        <w:rPr>
          <w:b/>
          <w:bCs/>
          <w:color w:val="000000" w:themeColor="text1"/>
          <w:sz w:val="24"/>
        </w:rPr>
        <w:t>OVERVIEW</w:t>
      </w:r>
    </w:p>
    <w:p w14:paraId="69C43B5C" w14:textId="77777777" w:rsidR="0058426D" w:rsidRDefault="0058426D" w:rsidP="0058426D">
      <w:pPr>
        <w:pStyle w:val="NoSpacing"/>
        <w:rPr>
          <w:sz w:val="24"/>
          <w:highlight w:val="yellow"/>
        </w:rPr>
      </w:pPr>
    </w:p>
    <w:p w14:paraId="665146E0" w14:textId="6723F6E9" w:rsidR="003E0A3E" w:rsidRPr="00B26C4E" w:rsidRDefault="003E0A3E" w:rsidP="0058426D">
      <w:pPr>
        <w:pStyle w:val="NoSpacing"/>
        <w:rPr>
          <w:b/>
          <w:bCs/>
          <w:sz w:val="24"/>
        </w:rPr>
      </w:pPr>
      <w:r w:rsidRPr="00B26C4E">
        <w:rPr>
          <w:b/>
          <w:bCs/>
          <w:sz w:val="24"/>
          <w:highlight w:val="yellow"/>
        </w:rPr>
        <w:t>DOGS QLD</w:t>
      </w:r>
    </w:p>
    <w:p w14:paraId="74064E76" w14:textId="581E7FEF" w:rsidR="003E0A3E" w:rsidRPr="0058426D" w:rsidRDefault="003E0A3E" w:rsidP="0058426D">
      <w:pPr>
        <w:pStyle w:val="NoSpacing"/>
        <w:rPr>
          <w:b/>
          <w:bCs/>
          <w:color w:val="0070C0"/>
          <w:sz w:val="24"/>
        </w:rPr>
      </w:pPr>
      <w:r w:rsidRPr="0058426D">
        <w:rPr>
          <w:b/>
          <w:bCs/>
          <w:color w:val="0070C0"/>
          <w:sz w:val="24"/>
        </w:rPr>
        <w:t>PROPOSAL:</w:t>
      </w:r>
      <w:r w:rsidR="0058426D">
        <w:rPr>
          <w:b/>
          <w:bCs/>
          <w:color w:val="0070C0"/>
          <w:sz w:val="24"/>
        </w:rPr>
        <w:t xml:space="preserve"> </w:t>
      </w:r>
      <w:r w:rsidRPr="0058426D">
        <w:rPr>
          <w:b/>
          <w:bCs/>
          <w:color w:val="0070C0"/>
          <w:sz w:val="24"/>
        </w:rPr>
        <w:t>NEW RULE</w:t>
      </w:r>
    </w:p>
    <w:p w14:paraId="30FD043F" w14:textId="77777777" w:rsidR="003E0A3E" w:rsidRDefault="003E0A3E" w:rsidP="0058426D">
      <w:pPr>
        <w:pStyle w:val="NoSpacing"/>
        <w:rPr>
          <w:rFonts w:eastAsia="Times New Roman"/>
          <w:color w:val="0070C0"/>
          <w:sz w:val="24"/>
          <w:lang w:eastAsia="en-AU" w:bidi="ar-SA"/>
        </w:rPr>
      </w:pPr>
      <w:r>
        <w:rPr>
          <w:rFonts w:eastAsia="Times New Roman"/>
          <w:color w:val="0070C0"/>
          <w:sz w:val="24"/>
          <w:lang w:eastAsia="en-AU" w:bidi="ar-SA"/>
        </w:rPr>
        <w:t>1.3</w:t>
      </w:r>
      <w:r>
        <w:rPr>
          <w:rFonts w:eastAsia="Times New Roman"/>
          <w:color w:val="0070C0"/>
          <w:sz w:val="24"/>
          <w:lang w:eastAsia="en-AU" w:bidi="ar-SA"/>
        </w:rPr>
        <w:tab/>
        <w:t>A Track &amp; Search Judging licence may be approved to judge test levels up to Track &amp; Search Dog prior to training, testing and assessment for a Track &amp; Search Judging licence to judge all test levels.</w:t>
      </w:r>
    </w:p>
    <w:p w14:paraId="7598B6A1" w14:textId="77777777" w:rsidR="003E0A3E" w:rsidRDefault="003E0A3E" w:rsidP="0058426D">
      <w:pPr>
        <w:pStyle w:val="NoSpacing"/>
        <w:rPr>
          <w:sz w:val="24"/>
        </w:rPr>
      </w:pPr>
    </w:p>
    <w:p w14:paraId="7EA34535" w14:textId="77777777" w:rsidR="003E0A3E" w:rsidRDefault="003E0A3E" w:rsidP="0058426D">
      <w:pPr>
        <w:pStyle w:val="NoSpacing"/>
        <w:rPr>
          <w:rFonts w:eastAsia="Times New Roman"/>
          <w:color w:val="FF0000"/>
          <w:sz w:val="24"/>
          <w:lang w:eastAsia="en-AU" w:bidi="ar-SA"/>
        </w:rPr>
      </w:pPr>
      <w:r w:rsidRPr="001133C1">
        <w:rPr>
          <w:b/>
          <w:bCs/>
          <w:color w:val="FF0000"/>
          <w:sz w:val="24"/>
        </w:rPr>
        <w:t>RATIONALE</w:t>
      </w:r>
      <w:r>
        <w:rPr>
          <w:color w:val="FF0000"/>
          <w:sz w:val="24"/>
        </w:rPr>
        <w:t xml:space="preserve">: </w:t>
      </w:r>
      <w:r>
        <w:rPr>
          <w:rFonts w:eastAsia="Times New Roman"/>
          <w:color w:val="FF0000"/>
          <w:sz w:val="24"/>
          <w:lang w:eastAsia="en-AU" w:bidi="ar-SA"/>
        </w:rPr>
        <w:t>Over time it has been found that it would be advantageous to the discipline and to the training of judges if there was the option to licence judges for the lower test levels instead of all test levels at once.  Some trainees would have found it more suitable to gain a licence to judge the lower levels and then to gain experience at judging while completing their training for a licence to judge all levels.</w:t>
      </w:r>
    </w:p>
    <w:p w14:paraId="58A2F2DF" w14:textId="77777777" w:rsidR="003E0A3E" w:rsidRDefault="003E0A3E" w:rsidP="0058426D">
      <w:pPr>
        <w:pStyle w:val="NoSpacing"/>
        <w:rPr>
          <w:rFonts w:eastAsia="Times New Roman"/>
          <w:color w:val="FF0000"/>
          <w:sz w:val="24"/>
          <w:lang w:eastAsia="en-AU" w:bidi="ar-SA"/>
        </w:rPr>
      </w:pPr>
    </w:p>
    <w:p w14:paraId="7E4C2F26" w14:textId="77777777" w:rsidR="003E0A3E" w:rsidRPr="001133C1" w:rsidRDefault="003E0A3E" w:rsidP="0058426D">
      <w:pPr>
        <w:pStyle w:val="NoSpacing"/>
        <w:rPr>
          <w:rFonts w:eastAsia="Times New Roman"/>
          <w:b/>
          <w:color w:val="FF0000"/>
          <w:sz w:val="24"/>
          <w:lang w:eastAsia="en-AU" w:bidi="ar-SA"/>
        </w:rPr>
      </w:pPr>
      <w:r w:rsidRPr="001133C1">
        <w:rPr>
          <w:rFonts w:eastAsia="Times New Roman"/>
          <w:b/>
          <w:color w:val="FF0000"/>
          <w:sz w:val="24"/>
          <w:lang w:eastAsia="en-AU" w:bidi="ar-SA"/>
        </w:rPr>
        <w:t>Consequential renumbering.</w:t>
      </w:r>
    </w:p>
    <w:p w14:paraId="5EC7D3E7" w14:textId="591C7A70" w:rsidR="003E0A3E" w:rsidRDefault="003E0A3E" w:rsidP="0058426D">
      <w:pPr>
        <w:pStyle w:val="NoSpacing"/>
        <w:rPr>
          <w:rFonts w:eastAsia="Times New Roman"/>
          <w:bCs/>
          <w:color w:val="FF0000"/>
          <w:sz w:val="24"/>
          <w:lang w:eastAsia="en-AU" w:bidi="ar-SA"/>
        </w:rPr>
      </w:pPr>
    </w:p>
    <w:p w14:paraId="11F7F643" w14:textId="77777777" w:rsidR="007346DD" w:rsidRDefault="007346DD" w:rsidP="0058426D">
      <w:pPr>
        <w:pStyle w:val="NoSpacing"/>
        <w:rPr>
          <w:rFonts w:eastAsia="Times New Roman"/>
          <w:b/>
          <w:sz w:val="28"/>
          <w:szCs w:val="28"/>
          <w:lang w:eastAsia="en-AU" w:bidi="ar-SA"/>
        </w:rPr>
      </w:pPr>
    </w:p>
    <w:p w14:paraId="349207B6" w14:textId="678C71D5" w:rsidR="007346DD" w:rsidRPr="00D80915" w:rsidRDefault="007346DD" w:rsidP="0058426D">
      <w:pPr>
        <w:pStyle w:val="NoSpacing"/>
        <w:rPr>
          <w:rFonts w:eastAsia="Times New Roman"/>
          <w:b/>
          <w:sz w:val="28"/>
          <w:szCs w:val="28"/>
          <w:u w:val="single"/>
          <w:lang w:eastAsia="en-AU" w:bidi="ar-SA"/>
        </w:rPr>
      </w:pPr>
      <w:r w:rsidRPr="00D80915">
        <w:rPr>
          <w:rFonts w:eastAsia="Times New Roman"/>
          <w:b/>
          <w:sz w:val="28"/>
          <w:szCs w:val="28"/>
          <w:u w:val="single"/>
          <w:lang w:eastAsia="en-AU" w:bidi="ar-SA"/>
        </w:rPr>
        <w:t>GENERAL BUSINESS</w:t>
      </w:r>
    </w:p>
    <w:p w14:paraId="270E5421" w14:textId="6BBE4D21" w:rsidR="007346DD" w:rsidRDefault="007346DD" w:rsidP="0058426D">
      <w:pPr>
        <w:pStyle w:val="NoSpacing"/>
        <w:rPr>
          <w:rFonts w:eastAsia="Times New Roman"/>
          <w:b/>
          <w:sz w:val="24"/>
          <w:lang w:eastAsia="en-AU" w:bidi="ar-SA"/>
        </w:rPr>
      </w:pPr>
    </w:p>
    <w:p w14:paraId="7EA1CE57" w14:textId="197DEB27" w:rsidR="007346DD" w:rsidRDefault="007346DD" w:rsidP="0058426D">
      <w:pPr>
        <w:pStyle w:val="NoSpacing"/>
        <w:rPr>
          <w:rFonts w:eastAsia="Times New Roman"/>
          <w:b/>
          <w:sz w:val="24"/>
          <w:lang w:eastAsia="en-AU" w:bidi="ar-SA"/>
        </w:rPr>
      </w:pPr>
      <w:r w:rsidRPr="007346DD">
        <w:rPr>
          <w:rFonts w:eastAsia="Times New Roman"/>
          <w:b/>
          <w:sz w:val="24"/>
          <w:highlight w:val="yellow"/>
          <w:lang w:eastAsia="en-AU" w:bidi="ar-SA"/>
        </w:rPr>
        <w:t>DOGS VIC</w:t>
      </w:r>
    </w:p>
    <w:p w14:paraId="0EB3015A" w14:textId="0447866E" w:rsidR="00D80915" w:rsidRDefault="00D80915" w:rsidP="0058426D">
      <w:pPr>
        <w:pStyle w:val="NoSpacing"/>
        <w:rPr>
          <w:rFonts w:eastAsia="Times New Roman"/>
          <w:b/>
          <w:sz w:val="24"/>
          <w:lang w:eastAsia="en-AU" w:bidi="ar-SA"/>
        </w:rPr>
      </w:pPr>
    </w:p>
    <w:p w14:paraId="38E97647" w14:textId="7C5BAF4B" w:rsidR="00D80915" w:rsidRPr="00D80915" w:rsidRDefault="00D80915" w:rsidP="00D80915">
      <w:pPr>
        <w:rPr>
          <w:b/>
          <w:bCs/>
          <w:color w:val="0070C0"/>
          <w:lang w:val="en-US"/>
        </w:rPr>
      </w:pPr>
      <w:r w:rsidRPr="00D80915">
        <w:rPr>
          <w:b/>
          <w:bCs/>
          <w:color w:val="0070C0"/>
          <w:lang w:val="en-US"/>
        </w:rPr>
        <w:t>PROPOSAL: - FOR DISCUSSION</w:t>
      </w:r>
    </w:p>
    <w:p w14:paraId="261887E4" w14:textId="58544B1F" w:rsidR="00D80915" w:rsidRPr="00D80915" w:rsidRDefault="00D80915" w:rsidP="00D80915">
      <w:pPr>
        <w:pStyle w:val="NoSpacing"/>
        <w:rPr>
          <w:rFonts w:eastAsiaTheme="minorHAnsi" w:cs="Calibri"/>
          <w:color w:val="0070C0"/>
          <w:kern w:val="0"/>
          <w:szCs w:val="22"/>
          <w:lang w:val="en-US" w:eastAsia="en-US" w:bidi="ar-SA"/>
        </w:rPr>
      </w:pPr>
      <w:r w:rsidRPr="00D80915">
        <w:rPr>
          <w:color w:val="0070C0"/>
          <w:lang w:val="en-US"/>
        </w:rPr>
        <w:t>Review of the order of titles on the ANKC database for each discipline, this was last done in 2013.</w:t>
      </w:r>
    </w:p>
    <w:p w14:paraId="162208B4" w14:textId="77777777" w:rsidR="00D80915" w:rsidRPr="00D80915" w:rsidRDefault="00D80915" w:rsidP="00D80915">
      <w:pPr>
        <w:pStyle w:val="NoSpacing"/>
        <w:rPr>
          <w:color w:val="0070C0"/>
          <w:lang w:val="en-US"/>
        </w:rPr>
      </w:pPr>
    </w:p>
    <w:p w14:paraId="32B490D2" w14:textId="22BB27CF" w:rsidR="00D80915" w:rsidRPr="00D80915" w:rsidRDefault="00D80915" w:rsidP="00D80915">
      <w:pPr>
        <w:pStyle w:val="NoSpacing"/>
        <w:rPr>
          <w:color w:val="FF0000"/>
          <w:lang w:val="en-US"/>
        </w:rPr>
      </w:pPr>
      <w:r w:rsidRPr="00D80915">
        <w:rPr>
          <w:b/>
          <w:bCs/>
          <w:color w:val="FF0000"/>
          <w:lang w:val="en-US"/>
        </w:rPr>
        <w:t>RATIONALE</w:t>
      </w:r>
      <w:r w:rsidRPr="00D80915">
        <w:rPr>
          <w:color w:val="FF0000"/>
          <w:lang w:val="en-US"/>
        </w:rPr>
        <w:t xml:space="preserve">:  With many new disciplines and additional titles, there appears to be no consistency in the order in which titles appear either before or after a dog’s name on </w:t>
      </w:r>
      <w:proofErr w:type="gramStart"/>
      <w:r w:rsidRPr="00D80915">
        <w:rPr>
          <w:color w:val="FF0000"/>
          <w:lang w:val="en-US"/>
        </w:rPr>
        <w:t>their  pedigree</w:t>
      </w:r>
      <w:proofErr w:type="gramEnd"/>
      <w:r w:rsidRPr="00D80915">
        <w:rPr>
          <w:color w:val="FF0000"/>
          <w:lang w:val="en-US"/>
        </w:rPr>
        <w:t>.</w:t>
      </w:r>
    </w:p>
    <w:p w14:paraId="5424A14E" w14:textId="77777777" w:rsidR="00D80915" w:rsidRPr="00D80915" w:rsidRDefault="00D80915" w:rsidP="00D80915">
      <w:pPr>
        <w:pStyle w:val="NoSpacing"/>
        <w:rPr>
          <w:color w:val="FF0000"/>
          <w:lang w:val="en-US"/>
        </w:rPr>
      </w:pPr>
    </w:p>
    <w:p w14:paraId="51F85778" w14:textId="77777777" w:rsidR="00E4377F" w:rsidRPr="00D80915" w:rsidRDefault="00E4377F" w:rsidP="0058426D">
      <w:pPr>
        <w:pStyle w:val="NoSpacing"/>
        <w:rPr>
          <w:color w:val="FF0000"/>
          <w:sz w:val="24"/>
        </w:rPr>
      </w:pPr>
    </w:p>
    <w:sectPr w:rsidR="00E4377F" w:rsidRPr="00D809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3BC5" w14:textId="77777777" w:rsidR="006E057B" w:rsidRDefault="006E057B" w:rsidP="006E057B">
      <w:r>
        <w:separator/>
      </w:r>
    </w:p>
  </w:endnote>
  <w:endnote w:type="continuationSeparator" w:id="0">
    <w:p w14:paraId="5BBE18B8" w14:textId="77777777" w:rsidR="006E057B" w:rsidRDefault="006E057B" w:rsidP="006E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7A9A" w14:textId="77777777" w:rsidR="006E057B" w:rsidRDefault="006E057B" w:rsidP="006E057B">
      <w:r>
        <w:separator/>
      </w:r>
    </w:p>
  </w:footnote>
  <w:footnote w:type="continuationSeparator" w:id="0">
    <w:p w14:paraId="4D0171C6" w14:textId="77777777" w:rsidR="006E057B" w:rsidRDefault="006E057B" w:rsidP="006E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8133" w14:textId="2105D162" w:rsidR="006E057B" w:rsidRDefault="006E057B" w:rsidP="006E057B">
    <w:pPr>
      <w:pStyle w:val="Header"/>
      <w:tabs>
        <w:tab w:val="left" w:pos="720"/>
      </w:tabs>
      <w:ind w:left="5040" w:right="-334"/>
      <w:rPr>
        <w:rFonts w:ascii="Arial" w:eastAsiaTheme="minorHAnsi" w:hAnsi="Arial" w:cs="Arial"/>
        <w:b/>
        <w:kern w:val="0"/>
        <w:sz w:val="24"/>
        <w:lang w:eastAsia="en-US" w:bidi="ar-SA"/>
      </w:rPr>
    </w:pPr>
    <w:r>
      <w:rPr>
        <w:rFonts w:ascii="Arial" w:hAnsi="Arial" w:cs="Arial"/>
        <w:b/>
        <w:sz w:val="24"/>
      </w:rPr>
      <w:t>2023 NOTC MTG – ATTACHMENT 8</w:t>
    </w:r>
    <w:r>
      <w:rPr>
        <w:rFonts w:ascii="Arial" w:hAnsi="Arial" w:cs="Arial"/>
        <w:b/>
        <w:sz w:val="24"/>
      </w:rPr>
      <w:t>d</w:t>
    </w:r>
  </w:p>
  <w:p w14:paraId="2E1473F1" w14:textId="77777777" w:rsidR="006E057B" w:rsidRDefault="006E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3EED"/>
    <w:multiLevelType w:val="hybridMultilevel"/>
    <w:tmpl w:val="E59ACF3E"/>
    <w:lvl w:ilvl="0" w:tplc="E81AAB30">
      <w:start w:val="1"/>
      <w:numFmt w:val="decimal"/>
      <w:lvlText w:val="%1."/>
      <w:lvlJc w:val="left"/>
      <w:pPr>
        <w:ind w:left="1437" w:hanging="72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start w:val="1"/>
      <w:numFmt w:val="decimal"/>
      <w:lvlText w:val="%4."/>
      <w:lvlJc w:val="left"/>
      <w:pPr>
        <w:ind w:left="3237" w:hanging="360"/>
      </w:pPr>
    </w:lvl>
    <w:lvl w:ilvl="4" w:tplc="0C090019">
      <w:start w:val="1"/>
      <w:numFmt w:val="lowerLetter"/>
      <w:lvlText w:val="%5."/>
      <w:lvlJc w:val="left"/>
      <w:pPr>
        <w:ind w:left="3957" w:hanging="360"/>
      </w:pPr>
    </w:lvl>
    <w:lvl w:ilvl="5" w:tplc="0C09001B">
      <w:start w:val="1"/>
      <w:numFmt w:val="lowerRoman"/>
      <w:lvlText w:val="%6."/>
      <w:lvlJc w:val="right"/>
      <w:pPr>
        <w:ind w:left="4677" w:hanging="180"/>
      </w:pPr>
    </w:lvl>
    <w:lvl w:ilvl="6" w:tplc="0C09000F">
      <w:start w:val="1"/>
      <w:numFmt w:val="decimal"/>
      <w:lvlText w:val="%7."/>
      <w:lvlJc w:val="left"/>
      <w:pPr>
        <w:ind w:left="5397" w:hanging="360"/>
      </w:pPr>
    </w:lvl>
    <w:lvl w:ilvl="7" w:tplc="0C090019">
      <w:start w:val="1"/>
      <w:numFmt w:val="lowerLetter"/>
      <w:lvlText w:val="%8."/>
      <w:lvlJc w:val="left"/>
      <w:pPr>
        <w:ind w:left="6117" w:hanging="360"/>
      </w:pPr>
    </w:lvl>
    <w:lvl w:ilvl="8" w:tplc="0C09001B">
      <w:start w:val="1"/>
      <w:numFmt w:val="lowerRoman"/>
      <w:lvlText w:val="%9."/>
      <w:lvlJc w:val="right"/>
      <w:pPr>
        <w:ind w:left="6837" w:hanging="180"/>
      </w:pPr>
    </w:lvl>
  </w:abstractNum>
  <w:abstractNum w:abstractNumId="1" w15:restartNumberingAfterBreak="0">
    <w:nsid w:val="700D786D"/>
    <w:multiLevelType w:val="hybridMultilevel"/>
    <w:tmpl w:val="7F46FEF6"/>
    <w:lvl w:ilvl="0" w:tplc="D7D8107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43237348">
    <w:abstractNumId w:val="1"/>
  </w:num>
  <w:num w:numId="2" w16cid:durableId="1301226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94"/>
    <w:rsid w:val="00077F9B"/>
    <w:rsid w:val="001133C1"/>
    <w:rsid w:val="003E0A3E"/>
    <w:rsid w:val="004C77B6"/>
    <w:rsid w:val="00533CD9"/>
    <w:rsid w:val="00563AEE"/>
    <w:rsid w:val="00571794"/>
    <w:rsid w:val="0058426D"/>
    <w:rsid w:val="006E057B"/>
    <w:rsid w:val="0071612B"/>
    <w:rsid w:val="007346DD"/>
    <w:rsid w:val="008D704D"/>
    <w:rsid w:val="009110A0"/>
    <w:rsid w:val="00A46682"/>
    <w:rsid w:val="00B26C4E"/>
    <w:rsid w:val="00C55437"/>
    <w:rsid w:val="00C57D27"/>
    <w:rsid w:val="00D80915"/>
    <w:rsid w:val="00E4377F"/>
    <w:rsid w:val="00ED0074"/>
    <w:rsid w:val="00FA7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168C"/>
  <w15:docId w15:val="{194A5686-897D-4179-B26B-F1C6571F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794"/>
    <w:pPr>
      <w:widowControl w:val="0"/>
      <w:spacing w:after="0" w:line="240" w:lineRule="auto"/>
    </w:pPr>
    <w:rPr>
      <w:rFonts w:ascii="Calibri" w:eastAsia="NSimSun" w:hAnsi="Calibri" w:cs="Arial"/>
      <w:kern w:val="2"/>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A0"/>
    <w:pPr>
      <w:ind w:left="720"/>
      <w:contextualSpacing/>
    </w:pPr>
    <w:rPr>
      <w:rFonts w:cs="Mangal"/>
    </w:rPr>
  </w:style>
  <w:style w:type="paragraph" w:styleId="NoSpacing">
    <w:name w:val="No Spacing"/>
    <w:uiPriority w:val="1"/>
    <w:qFormat/>
    <w:rsid w:val="0058426D"/>
    <w:pPr>
      <w:widowControl w:val="0"/>
      <w:spacing w:after="0" w:line="240" w:lineRule="auto"/>
    </w:pPr>
    <w:rPr>
      <w:rFonts w:ascii="Calibri" w:eastAsia="NSimSun" w:hAnsi="Calibri" w:cs="Mangal"/>
      <w:kern w:val="2"/>
      <w:szCs w:val="24"/>
      <w:lang w:eastAsia="zh-CN" w:bidi="hi-IN"/>
    </w:rPr>
  </w:style>
  <w:style w:type="paragraph" w:styleId="Header">
    <w:name w:val="header"/>
    <w:basedOn w:val="Normal"/>
    <w:link w:val="HeaderChar"/>
    <w:uiPriority w:val="99"/>
    <w:unhideWhenUsed/>
    <w:rsid w:val="006E057B"/>
    <w:pPr>
      <w:tabs>
        <w:tab w:val="center" w:pos="4513"/>
        <w:tab w:val="right" w:pos="9026"/>
      </w:tabs>
    </w:pPr>
    <w:rPr>
      <w:rFonts w:cs="Mangal"/>
    </w:rPr>
  </w:style>
  <w:style w:type="character" w:customStyle="1" w:styleId="HeaderChar">
    <w:name w:val="Header Char"/>
    <w:basedOn w:val="DefaultParagraphFont"/>
    <w:link w:val="Header"/>
    <w:uiPriority w:val="99"/>
    <w:rsid w:val="006E057B"/>
    <w:rPr>
      <w:rFonts w:ascii="Calibri" w:eastAsia="NSimSun" w:hAnsi="Calibri" w:cs="Mangal"/>
      <w:kern w:val="2"/>
      <w:szCs w:val="24"/>
      <w:lang w:eastAsia="zh-CN" w:bidi="hi-IN"/>
    </w:rPr>
  </w:style>
  <w:style w:type="paragraph" w:styleId="Footer">
    <w:name w:val="footer"/>
    <w:basedOn w:val="Normal"/>
    <w:link w:val="FooterChar"/>
    <w:uiPriority w:val="99"/>
    <w:unhideWhenUsed/>
    <w:rsid w:val="006E057B"/>
    <w:pPr>
      <w:tabs>
        <w:tab w:val="center" w:pos="4513"/>
        <w:tab w:val="right" w:pos="9026"/>
      </w:tabs>
    </w:pPr>
    <w:rPr>
      <w:rFonts w:cs="Mangal"/>
    </w:rPr>
  </w:style>
  <w:style w:type="character" w:customStyle="1" w:styleId="FooterChar">
    <w:name w:val="Footer Char"/>
    <w:basedOn w:val="DefaultParagraphFont"/>
    <w:link w:val="Footer"/>
    <w:uiPriority w:val="99"/>
    <w:rsid w:val="006E057B"/>
    <w:rPr>
      <w:rFonts w:ascii="Calibri" w:eastAsia="NSimSun" w:hAnsi="Calibri" w:cs="Mang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5919">
      <w:bodyDiv w:val="1"/>
      <w:marLeft w:val="0"/>
      <w:marRight w:val="0"/>
      <w:marTop w:val="0"/>
      <w:marBottom w:val="0"/>
      <w:divBdr>
        <w:top w:val="none" w:sz="0" w:space="0" w:color="auto"/>
        <w:left w:val="none" w:sz="0" w:space="0" w:color="auto"/>
        <w:bottom w:val="none" w:sz="0" w:space="0" w:color="auto"/>
        <w:right w:val="none" w:sz="0" w:space="0" w:color="auto"/>
      </w:divBdr>
    </w:div>
    <w:div w:id="482353647">
      <w:bodyDiv w:val="1"/>
      <w:marLeft w:val="0"/>
      <w:marRight w:val="0"/>
      <w:marTop w:val="0"/>
      <w:marBottom w:val="0"/>
      <w:divBdr>
        <w:top w:val="none" w:sz="0" w:space="0" w:color="auto"/>
        <w:left w:val="none" w:sz="0" w:space="0" w:color="auto"/>
        <w:bottom w:val="none" w:sz="0" w:space="0" w:color="auto"/>
        <w:right w:val="none" w:sz="0" w:space="0" w:color="auto"/>
      </w:divBdr>
    </w:div>
    <w:div w:id="996767855">
      <w:bodyDiv w:val="1"/>
      <w:marLeft w:val="0"/>
      <w:marRight w:val="0"/>
      <w:marTop w:val="0"/>
      <w:marBottom w:val="0"/>
      <w:divBdr>
        <w:top w:val="none" w:sz="0" w:space="0" w:color="auto"/>
        <w:left w:val="none" w:sz="0" w:space="0" w:color="auto"/>
        <w:bottom w:val="none" w:sz="0" w:space="0" w:color="auto"/>
        <w:right w:val="none" w:sz="0" w:space="0" w:color="auto"/>
      </w:divBdr>
    </w:div>
    <w:div w:id="18705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Tracey Barry | DOGS AUSTRALIA</cp:lastModifiedBy>
  <cp:revision>3</cp:revision>
  <dcterms:created xsi:type="dcterms:W3CDTF">2022-09-30T06:06:00Z</dcterms:created>
  <dcterms:modified xsi:type="dcterms:W3CDTF">2022-10-27T04:10:00Z</dcterms:modified>
</cp:coreProperties>
</file>